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41" w:rsidRPr="00AB1565" w:rsidRDefault="002E5441" w:rsidP="002E5441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565">
        <w:rPr>
          <w:rFonts w:ascii="Times New Roman" w:hAnsi="Times New Roman" w:cs="Times New Roman"/>
          <w:b/>
          <w:sz w:val="28"/>
          <w:szCs w:val="28"/>
        </w:rPr>
        <w:t>МИНИСТЕРСТВО НА ЕЛЕКТРОННОТО УПРАВЛЕНИЕ</w:t>
      </w:r>
    </w:p>
    <w:p w:rsidR="002E5441" w:rsidRPr="00AB1565" w:rsidRDefault="002E5441" w:rsidP="002E5441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565">
        <w:rPr>
          <w:rFonts w:ascii="Times New Roman" w:hAnsi="Times New Roman" w:cs="Times New Roman"/>
          <w:b/>
          <w:sz w:val="28"/>
          <w:szCs w:val="28"/>
        </w:rPr>
        <w:t>ДИРЕКЦИЯ „УПРАВЛЕНИЕ НА ПРОГРАМИ И ПРОЕКТИ“ – МЕЖДИННО ЗВЕНО ПО ПРИОРИТЕТ 2 „ЦИФРОВА ТРАНСФОРМАЦИЯ НА ПУБЛИЧНИЯ СЕКТОР“ НА ПРОГРАМА „НАУЧНИ ИЗСЛЕДВАНИЯ, ИНОВАЦИИ И ДИГИТАЛИЗАЦИЯ ЗА ИНТЕЛИГЕНТНА ТРАНСФОРМАЦИЯ“ 2021-2027</w:t>
      </w:r>
    </w:p>
    <w:p w:rsidR="0072556E" w:rsidRPr="0037225E" w:rsidRDefault="0072556E" w:rsidP="003A527B">
      <w:pPr>
        <w:pStyle w:val="NormalWeb"/>
        <w:jc w:val="center"/>
        <w:rPr>
          <w:b/>
        </w:rPr>
      </w:pPr>
      <w:r w:rsidRPr="0037225E">
        <w:rPr>
          <w:b/>
        </w:rPr>
        <w:t>П О К А Н А</w:t>
      </w:r>
    </w:p>
    <w:p w:rsidR="009660FA" w:rsidRPr="0017224E" w:rsidRDefault="009660FA" w:rsidP="0017224E">
      <w:pPr>
        <w:pStyle w:val="NormalWeb"/>
        <w:jc w:val="center"/>
        <w:rPr>
          <w:b/>
        </w:rPr>
      </w:pPr>
      <w:r w:rsidRPr="009660FA">
        <w:rPr>
          <w:b/>
        </w:rPr>
        <w:t xml:space="preserve">за участие в процедура чрез директно предоставяне на безвъзмездна финансова помощ по </w:t>
      </w:r>
      <w:r w:rsidR="0017224E" w:rsidRPr="0017224E">
        <w:rPr>
          <w:b/>
        </w:rPr>
        <w:t>BG16RFPR002-2.005 „Изграждане на обучителен център като елемент от националната система за киберсигурност (CS 1)“</w:t>
      </w:r>
    </w:p>
    <w:p w:rsidR="00A26D44" w:rsidRPr="002E5441" w:rsidRDefault="002E5441" w:rsidP="002E5441">
      <w:pPr>
        <w:pStyle w:val="NormalWeb"/>
        <w:jc w:val="center"/>
        <w:rPr>
          <w:b/>
        </w:rPr>
      </w:pPr>
      <w:r w:rsidRPr="002E5441">
        <w:rPr>
          <w:b/>
        </w:rPr>
        <w:t xml:space="preserve">по </w:t>
      </w:r>
      <w:r w:rsidR="00F97AD8" w:rsidRPr="002E5441">
        <w:rPr>
          <w:b/>
        </w:rPr>
        <w:t>Приоритет 2 „Цифрова тран</w:t>
      </w:r>
      <w:r w:rsidR="00F97AD8">
        <w:rPr>
          <w:b/>
        </w:rPr>
        <w:t xml:space="preserve">сформация на публичния сектор“ на </w:t>
      </w:r>
      <w:r w:rsidRPr="002E5441">
        <w:rPr>
          <w:b/>
        </w:rPr>
        <w:t>Програма „Научни изследвания, иновации и дигитализация за интелигентна трансформация“ 2021-2027</w:t>
      </w:r>
      <w:r>
        <w:rPr>
          <w:b/>
        </w:rPr>
        <w:t xml:space="preserve"> г.</w:t>
      </w:r>
    </w:p>
    <w:p w:rsidR="002E5441" w:rsidRPr="002E5441" w:rsidRDefault="002E5441" w:rsidP="002E5441">
      <w:pPr>
        <w:pStyle w:val="NormalWeb"/>
        <w:jc w:val="both"/>
        <w:rPr>
          <w:rFonts w:cstheme="minorHAnsi"/>
          <w:bCs/>
        </w:rPr>
      </w:pPr>
      <w:r w:rsidRPr="002E5441">
        <w:rPr>
          <w:rFonts w:cstheme="minorHAnsi"/>
        </w:rPr>
        <w:t>Дирекция „Управление на програми и проекти“ към Министерст</w:t>
      </w:r>
      <w:r>
        <w:rPr>
          <w:rFonts w:cstheme="minorHAnsi"/>
        </w:rPr>
        <w:t xml:space="preserve">во на електронното управление, </w:t>
      </w:r>
      <w:r w:rsidRPr="002E5441">
        <w:rPr>
          <w:rFonts w:cstheme="minorHAnsi"/>
        </w:rPr>
        <w:t>определена за Междинно звено по Приоритет 2 „Цифрова трансформация на публичния сектор” на Програма за научни изследвания, иновации и дигитализация за интелигентна трансф</w:t>
      </w:r>
      <w:r w:rsidR="001E4EC0">
        <w:rPr>
          <w:rFonts w:cstheme="minorHAnsi"/>
        </w:rPr>
        <w:t xml:space="preserve">ормация“ 2021-2027 г. (ПНИИДИТ), </w:t>
      </w:r>
      <w:r w:rsidR="005D6A06">
        <w:rPr>
          <w:rFonts w:cstheme="minorHAnsi"/>
        </w:rPr>
        <w:t xml:space="preserve">кани </w:t>
      </w:r>
      <w:r w:rsidR="0017224E">
        <w:rPr>
          <w:rFonts w:cstheme="minorHAnsi"/>
        </w:rPr>
        <w:t xml:space="preserve">Министерство на електронното управление в качеството му на конкретен </w:t>
      </w:r>
      <w:r w:rsidR="00974300">
        <w:rPr>
          <w:rFonts w:cstheme="minorHAnsi"/>
        </w:rPr>
        <w:t>бенефицие</w:t>
      </w:r>
      <w:bookmarkStart w:id="0" w:name="_GoBack"/>
      <w:bookmarkEnd w:id="0"/>
      <w:r w:rsidR="00974300">
        <w:rPr>
          <w:rFonts w:cstheme="minorHAnsi"/>
        </w:rPr>
        <w:t xml:space="preserve">нт </w:t>
      </w:r>
      <w:r>
        <w:rPr>
          <w:rFonts w:cstheme="minorHAnsi"/>
          <w:bCs/>
        </w:rPr>
        <w:t xml:space="preserve">да </w:t>
      </w:r>
      <w:r w:rsidR="007800F2">
        <w:rPr>
          <w:rFonts w:cstheme="minorHAnsi"/>
          <w:bCs/>
        </w:rPr>
        <w:t>пред</w:t>
      </w:r>
      <w:r w:rsidR="008B78AF">
        <w:rPr>
          <w:rFonts w:cstheme="minorHAnsi"/>
          <w:bCs/>
        </w:rPr>
        <w:t>стави</w:t>
      </w:r>
      <w:r w:rsidR="007800F2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проектно предложение </w:t>
      </w:r>
      <w:r w:rsidR="00A26D44" w:rsidRPr="00C93E5D">
        <w:rPr>
          <w:rFonts w:cstheme="minorHAnsi"/>
          <w:bCs/>
        </w:rPr>
        <w:t xml:space="preserve">по </w:t>
      </w:r>
      <w:r>
        <w:rPr>
          <w:rFonts w:cstheme="minorHAnsi"/>
          <w:bCs/>
        </w:rPr>
        <w:t xml:space="preserve">процедура </w:t>
      </w:r>
      <w:r w:rsidR="0017224E" w:rsidRPr="0017224E">
        <w:rPr>
          <w:rFonts w:cstheme="minorHAnsi"/>
          <w:bCs/>
        </w:rPr>
        <w:t xml:space="preserve">BG16RFPR002-2.005 „Изграждане на обучителен център като елемент от националната система за киберсигурност (CS 1)“ </w:t>
      </w:r>
      <w:r w:rsidR="00F97AD8">
        <w:rPr>
          <w:rFonts w:cstheme="minorHAnsi"/>
          <w:bCs/>
        </w:rPr>
        <w:t>по Приоритет 2 на ПНИИДИТ.</w:t>
      </w:r>
    </w:p>
    <w:p w:rsidR="00F97AD8" w:rsidRDefault="00A076D6" w:rsidP="00A076D6">
      <w:pPr>
        <w:pStyle w:val="NormalWeb"/>
        <w:jc w:val="both"/>
      </w:pPr>
      <w:r>
        <w:rPr>
          <w:rStyle w:val="Strong"/>
        </w:rPr>
        <w:t xml:space="preserve">Основната цел на процедурата </w:t>
      </w:r>
      <w:r w:rsidR="004F7193" w:rsidRPr="00030481">
        <w:t>е</w:t>
      </w:r>
      <w:r w:rsidR="0017224E">
        <w:t xml:space="preserve"> </w:t>
      </w:r>
      <w:r w:rsidR="0017224E" w:rsidRPr="0017224E">
        <w:t>надграждане и увеличаване на налични ресурси и изграждане на нови елементи от цялостната екосистема на киберсигурността чрез изграждане на център за провеждане на обучения, свързани с информационна сигурност, повишаване на осведомеността, компетентностите и механизмите за контрол и управление на инциденти, със съответната техническа платформа за симулация на комплексни дейности по кибератаки и защити, и развитие на стимулираща среда за изследвания и иновации в областта на киберсигурността</w:t>
      </w:r>
    </w:p>
    <w:p w:rsidR="00A076D6" w:rsidRDefault="00A076D6" w:rsidP="00A076D6">
      <w:pPr>
        <w:pStyle w:val="NormalWeb"/>
        <w:jc w:val="both"/>
        <w:rPr>
          <w:rStyle w:val="Strong"/>
        </w:rPr>
      </w:pPr>
      <w:r>
        <w:t xml:space="preserve">Процедурата </w:t>
      </w:r>
      <w:r>
        <w:rPr>
          <w:rStyle w:val="Strong"/>
        </w:rPr>
        <w:t>се реализира с финансовата подкрепа на Европейския съюз чрез Европейския фонд за регионално развитие.</w:t>
      </w:r>
    </w:p>
    <w:p w:rsidR="00620E0E" w:rsidRDefault="00620E0E" w:rsidP="00A076D6">
      <w:pPr>
        <w:pStyle w:val="NormalWeb"/>
        <w:jc w:val="both"/>
      </w:pPr>
      <w:r>
        <w:rPr>
          <w:bCs/>
          <w:iCs/>
        </w:rPr>
        <w:t>Процедурата се реализира в режим „непомощ“</w:t>
      </w:r>
      <w:r w:rsidR="00F97AD8">
        <w:rPr>
          <w:bCs/>
          <w:iCs/>
        </w:rPr>
        <w:t>,</w:t>
      </w:r>
      <w:r>
        <w:rPr>
          <w:bCs/>
          <w:iCs/>
        </w:rPr>
        <w:t xml:space="preserve"> </w:t>
      </w:r>
      <w:r w:rsidRPr="00DA28AC">
        <w:rPr>
          <w:bCs/>
          <w:iCs/>
        </w:rPr>
        <w:t>извън обхвата на чл.</w:t>
      </w:r>
      <w:r w:rsidR="002E5441">
        <w:rPr>
          <w:bCs/>
          <w:iCs/>
        </w:rPr>
        <w:t xml:space="preserve"> </w:t>
      </w:r>
      <w:r w:rsidRPr="00DA28AC">
        <w:rPr>
          <w:bCs/>
          <w:iCs/>
        </w:rPr>
        <w:t xml:space="preserve">107 от </w:t>
      </w:r>
      <w:r w:rsidRPr="00F94B53">
        <w:t>Договора за функциониране на Европейския съюз</w:t>
      </w:r>
      <w:r>
        <w:t>.</w:t>
      </w:r>
    </w:p>
    <w:p w:rsidR="00A076D6" w:rsidRDefault="003D3BAC" w:rsidP="00A076D6">
      <w:pPr>
        <w:pStyle w:val="NormalWeb"/>
        <w:jc w:val="both"/>
        <w:rPr>
          <w:rStyle w:val="Strong"/>
        </w:rPr>
      </w:pPr>
      <w:r>
        <w:rPr>
          <w:rStyle w:val="Strong"/>
        </w:rPr>
        <w:t>Бюджетът</w:t>
      </w:r>
      <w:r w:rsidR="00A076D6">
        <w:rPr>
          <w:rStyle w:val="Strong"/>
        </w:rPr>
        <w:t xml:space="preserve"> </w:t>
      </w:r>
      <w:r w:rsidR="00F97AD8">
        <w:rPr>
          <w:rStyle w:val="Strong"/>
        </w:rPr>
        <w:t xml:space="preserve">на </w:t>
      </w:r>
      <w:r w:rsidR="00A076D6">
        <w:rPr>
          <w:rStyle w:val="Strong"/>
        </w:rPr>
        <w:t>процедура</w:t>
      </w:r>
      <w:r w:rsidR="008C6464">
        <w:rPr>
          <w:rStyle w:val="Strong"/>
        </w:rPr>
        <w:t>та</w:t>
      </w:r>
      <w:r w:rsidR="00A076D6">
        <w:rPr>
          <w:rStyle w:val="Strong"/>
        </w:rPr>
        <w:t xml:space="preserve"> е </w:t>
      </w:r>
      <w:r w:rsidR="0017224E" w:rsidRPr="00AB40AF">
        <w:rPr>
          <w:b/>
        </w:rPr>
        <w:t xml:space="preserve">1 955 830  </w:t>
      </w:r>
      <w:r w:rsidR="00510513" w:rsidRPr="00AB40AF">
        <w:rPr>
          <w:rStyle w:val="Strong"/>
        </w:rPr>
        <w:t>лева</w:t>
      </w:r>
      <w:r w:rsidR="0017224E" w:rsidRPr="00AB40AF">
        <w:rPr>
          <w:rStyle w:val="Strong"/>
        </w:rPr>
        <w:t xml:space="preserve"> (1 000 000 евро)</w:t>
      </w:r>
      <w:r w:rsidR="000C5D8A" w:rsidRPr="00AB40AF">
        <w:rPr>
          <w:rStyle w:val="Strong"/>
        </w:rPr>
        <w:t>.</w:t>
      </w:r>
    </w:p>
    <w:p w:rsidR="00F97AD8" w:rsidRPr="00FC03EE" w:rsidRDefault="00F97AD8" w:rsidP="00A076D6">
      <w:pPr>
        <w:pStyle w:val="NormalWeb"/>
        <w:jc w:val="both"/>
        <w:rPr>
          <w:rStyle w:val="Strong"/>
        </w:rPr>
      </w:pPr>
    </w:p>
    <w:p w:rsidR="00A076D6" w:rsidRDefault="00A076D6" w:rsidP="00A076D6">
      <w:pPr>
        <w:pStyle w:val="NormalWeb"/>
        <w:jc w:val="both"/>
        <w:rPr>
          <w:rStyle w:val="Strong"/>
          <w:u w:val="single"/>
        </w:rPr>
      </w:pPr>
      <w:r>
        <w:rPr>
          <w:rStyle w:val="Strong"/>
          <w:u w:val="single"/>
        </w:rPr>
        <w:lastRenderedPageBreak/>
        <w:t>Допустими за финансиране са следните дейности:  </w:t>
      </w:r>
    </w:p>
    <w:p w:rsidR="0017224E" w:rsidRDefault="0017224E" w:rsidP="0017224E">
      <w:pPr>
        <w:pStyle w:val="NormalWeb"/>
        <w:spacing w:before="0" w:beforeAutospacing="0" w:after="0" w:afterAutospacing="0"/>
        <w:jc w:val="both"/>
      </w:pPr>
      <w:r>
        <w:t xml:space="preserve">1. Изграждане и оборудване на център за обучение като елемент на националната система за киберсигурност за служители на субектите по киберсигурност. </w:t>
      </w:r>
    </w:p>
    <w:p w:rsidR="0017224E" w:rsidRDefault="0017224E" w:rsidP="0017224E">
      <w:pPr>
        <w:pStyle w:val="NormalWeb"/>
        <w:spacing w:before="0" w:beforeAutospacing="0" w:after="0" w:afterAutospacing="0"/>
        <w:jc w:val="both"/>
      </w:pPr>
      <w:r>
        <w:t xml:space="preserve">Дейността може да включва изпълнение на строително-монтажни работи, като ремонт, обновяване и модернизация на настоящи помещения и съоръжения, стопанисвани от партньора, придобиване на хардуер и софтуер, достъп до алтернативен Интернет и др. за работните места на обучаемите, необходими за да функционира центърът за обучение. </w:t>
      </w:r>
    </w:p>
    <w:p w:rsidR="0017224E" w:rsidRDefault="0017224E" w:rsidP="0017224E">
      <w:pPr>
        <w:pStyle w:val="NormalWeb"/>
        <w:spacing w:before="0" w:beforeAutospacing="0" w:after="0" w:afterAutospacing="0"/>
        <w:jc w:val="both"/>
      </w:pPr>
    </w:p>
    <w:p w:rsidR="0017224E" w:rsidRDefault="0017224E" w:rsidP="0017224E">
      <w:pPr>
        <w:pStyle w:val="NormalWeb"/>
        <w:spacing w:before="0" w:beforeAutospacing="0" w:after="0" w:afterAutospacing="0"/>
        <w:jc w:val="both"/>
      </w:pPr>
      <w:r>
        <w:t>2. Внедряване и интегриране на обслужващи софтуерни платформи в обучителния център.</w:t>
      </w:r>
    </w:p>
    <w:p w:rsidR="0017224E" w:rsidRDefault="0017224E" w:rsidP="0017224E">
      <w:pPr>
        <w:pStyle w:val="NormalWeb"/>
        <w:spacing w:before="0" w:beforeAutospacing="0" w:after="0" w:afterAutospacing="0"/>
        <w:jc w:val="both"/>
      </w:pPr>
      <w:r>
        <w:t xml:space="preserve">Дейността включва разработване/придобиване и внедряване на софтуерни платформи за целите на обучителните курсове с налични  системи/платформи с които работят бенефициентът или партньорът. </w:t>
      </w:r>
    </w:p>
    <w:p w:rsidR="0017224E" w:rsidRDefault="0017224E" w:rsidP="0017224E">
      <w:pPr>
        <w:pStyle w:val="NormalWeb"/>
        <w:spacing w:before="0" w:beforeAutospacing="0" w:after="0" w:afterAutospacing="0"/>
        <w:jc w:val="both"/>
      </w:pPr>
    </w:p>
    <w:p w:rsidR="0017224E" w:rsidRDefault="0017224E" w:rsidP="0017224E">
      <w:pPr>
        <w:pStyle w:val="NormalWeb"/>
        <w:spacing w:before="0" w:beforeAutospacing="0" w:after="0" w:afterAutospacing="0"/>
        <w:jc w:val="both"/>
      </w:pPr>
      <w:r>
        <w:t>3. Разработване на програми и материали за работа на обучителния център.</w:t>
      </w:r>
    </w:p>
    <w:p w:rsidR="0017224E" w:rsidRDefault="0017224E" w:rsidP="0017224E">
      <w:pPr>
        <w:pStyle w:val="NormalWeb"/>
        <w:spacing w:before="0" w:beforeAutospacing="0" w:after="0" w:afterAutospacing="0"/>
        <w:jc w:val="both"/>
      </w:pPr>
      <w:r>
        <w:t xml:space="preserve">Дейността включва разработване на програми/модули за обучение, състоящи се от всякакви комбинации на лекционни курсове, интерактивни презентации, видео лекции и материали, документация и др., като следва да са разработени минимум четири обучителни програми в направления: „Центрове за оперативна сигурност“, „Национални компетентни органи“, „Секторни екипи за реакция при инциденти с компютърната сигурност“, и „Отговорници по мрежова и информационна сигурност в административните органи“).  </w:t>
      </w:r>
    </w:p>
    <w:p w:rsidR="0017224E" w:rsidRDefault="0017224E" w:rsidP="0017224E">
      <w:pPr>
        <w:pStyle w:val="NormalWeb"/>
        <w:spacing w:before="0" w:beforeAutospacing="0" w:after="0" w:afterAutospacing="0"/>
        <w:jc w:val="both"/>
      </w:pPr>
    </w:p>
    <w:p w:rsidR="0017224E" w:rsidRDefault="0017224E" w:rsidP="0017224E">
      <w:pPr>
        <w:pStyle w:val="NormalWeb"/>
        <w:spacing w:before="0" w:beforeAutospacing="0" w:after="0" w:afterAutospacing="0"/>
        <w:jc w:val="both"/>
      </w:pPr>
      <w:r>
        <w:t>4. Провеждане на обучения.</w:t>
      </w:r>
    </w:p>
    <w:p w:rsidR="002A58C9" w:rsidRDefault="0017224E" w:rsidP="0017224E">
      <w:pPr>
        <w:pStyle w:val="NormalWeb"/>
        <w:spacing w:before="0" w:beforeAutospacing="0" w:after="0" w:afterAutospacing="0"/>
        <w:jc w:val="both"/>
      </w:pPr>
      <w:r>
        <w:t>Дейността включва провеждането на минимум едно обучение по всяка от разработените по горната точка програми за обучение, включващо теоретични и практически обучения в максимално реалистични условия посредством лекционни модули и/или виртуална платформа за разработване, предоставяне и използване на интерактивни симулационни среди за казуси от различно естество, включително симулация на атаки в програми за различните роли на експертите, работещи в Националната система за киберсигурност.</w:t>
      </w:r>
    </w:p>
    <w:p w:rsidR="00A076D6" w:rsidRDefault="00437199" w:rsidP="00A076D6">
      <w:pPr>
        <w:pStyle w:val="NormalWeb"/>
        <w:jc w:val="both"/>
      </w:pPr>
      <w:r>
        <w:t xml:space="preserve">Подаването на </w:t>
      </w:r>
      <w:r w:rsidRPr="001E4EC0">
        <w:rPr>
          <w:bCs/>
          <w:iCs/>
        </w:rPr>
        <w:t>проектните</w:t>
      </w:r>
      <w:r>
        <w:t xml:space="preserve"> предложения</w:t>
      </w:r>
      <w:r w:rsidR="00A076D6">
        <w:t xml:space="preserve"> по настоящата процедура се извършва </w:t>
      </w:r>
      <w:r w:rsidR="00956F88">
        <w:t xml:space="preserve">изцяло </w:t>
      </w:r>
      <w:r w:rsidR="00A076D6">
        <w:t xml:space="preserve">по електронен път чрез попълване на </w:t>
      </w:r>
      <w:r w:rsidR="00956F88">
        <w:t xml:space="preserve">уеб-базиран </w:t>
      </w:r>
      <w:r w:rsidR="00A076D6">
        <w:t xml:space="preserve">формуляр за кандидатстване и подаване на формуляра и придружителните документи чрез </w:t>
      </w:r>
      <w:r w:rsidR="00A076D6">
        <w:rPr>
          <w:rStyle w:val="Strong"/>
        </w:rPr>
        <w:t xml:space="preserve">Информационната система за управление и наблюдение на </w:t>
      </w:r>
      <w:r w:rsidR="00FF5BBB">
        <w:rPr>
          <w:rStyle w:val="Strong"/>
        </w:rPr>
        <w:t>средствата</w:t>
      </w:r>
      <w:r w:rsidR="00F97AD8">
        <w:rPr>
          <w:rStyle w:val="Strong"/>
        </w:rPr>
        <w:t xml:space="preserve"> на ЕС в България (ИСУН 2020) </w:t>
      </w:r>
      <w:r w:rsidR="00A076D6">
        <w:t xml:space="preserve">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8" w:history="1">
        <w:r w:rsidR="00A076D6">
          <w:rPr>
            <w:rStyle w:val="Hyperlink"/>
          </w:rPr>
          <w:t>https://eumis2020.government.bg</w:t>
        </w:r>
      </w:hyperlink>
      <w:r w:rsidR="00A076D6">
        <w:t>.</w:t>
      </w:r>
    </w:p>
    <w:p w:rsidR="0017224E" w:rsidRDefault="0017224E" w:rsidP="00363050">
      <w:pPr>
        <w:pStyle w:val="NormalWeb"/>
        <w:jc w:val="both"/>
        <w:rPr>
          <w:b/>
          <w:spacing w:val="-4"/>
        </w:rPr>
      </w:pPr>
    </w:p>
    <w:p w:rsidR="00363050" w:rsidRPr="00C22792" w:rsidRDefault="001F3CDB" w:rsidP="00363050">
      <w:pPr>
        <w:pStyle w:val="NormalWeb"/>
        <w:jc w:val="both"/>
        <w:rPr>
          <w:b/>
          <w:spacing w:val="-4"/>
        </w:rPr>
      </w:pPr>
      <w:r w:rsidRPr="00C22792">
        <w:rPr>
          <w:b/>
          <w:spacing w:val="-4"/>
        </w:rPr>
        <w:t>Крайният</w:t>
      </w:r>
      <w:r w:rsidR="00363050" w:rsidRPr="00C22792">
        <w:rPr>
          <w:b/>
          <w:spacing w:val="-4"/>
        </w:rPr>
        <w:t xml:space="preserve"> срок за подаване на </w:t>
      </w:r>
      <w:r w:rsidR="00956F88" w:rsidRPr="00C22792">
        <w:rPr>
          <w:b/>
          <w:spacing w:val="-4"/>
        </w:rPr>
        <w:t xml:space="preserve">проектно предложение </w:t>
      </w:r>
      <w:r w:rsidR="000E0DDD" w:rsidRPr="00C22792">
        <w:rPr>
          <w:b/>
          <w:spacing w:val="-4"/>
        </w:rPr>
        <w:t xml:space="preserve">е: </w:t>
      </w:r>
      <w:r w:rsidR="00956F88" w:rsidRPr="00C22792">
        <w:rPr>
          <w:b/>
          <w:spacing w:val="-4"/>
        </w:rPr>
        <w:t>16</w:t>
      </w:r>
      <w:r w:rsidR="00363050" w:rsidRPr="00C22792">
        <w:rPr>
          <w:b/>
          <w:spacing w:val="-4"/>
        </w:rPr>
        <w:t xml:space="preserve">:30 часа на </w:t>
      </w:r>
      <w:r w:rsidR="009643DB" w:rsidRPr="00AB40AF">
        <w:rPr>
          <w:b/>
          <w:spacing w:val="-4"/>
        </w:rPr>
        <w:t>2</w:t>
      </w:r>
      <w:r w:rsidR="00AB40AF">
        <w:rPr>
          <w:b/>
          <w:spacing w:val="-4"/>
        </w:rPr>
        <w:t>9</w:t>
      </w:r>
      <w:r w:rsidR="009660FA" w:rsidRPr="00AB40AF">
        <w:rPr>
          <w:b/>
          <w:spacing w:val="-4"/>
        </w:rPr>
        <w:t xml:space="preserve"> </w:t>
      </w:r>
      <w:r w:rsidR="0094212A" w:rsidRPr="00AB40AF">
        <w:rPr>
          <w:b/>
          <w:spacing w:val="-4"/>
        </w:rPr>
        <w:t>април</w:t>
      </w:r>
      <w:r w:rsidR="001E4EC0" w:rsidRPr="00AB40AF">
        <w:rPr>
          <w:b/>
          <w:spacing w:val="-4"/>
        </w:rPr>
        <w:t xml:space="preserve"> </w:t>
      </w:r>
      <w:r w:rsidR="009660FA" w:rsidRPr="00AB40AF">
        <w:rPr>
          <w:b/>
          <w:spacing w:val="-4"/>
        </w:rPr>
        <w:t>202</w:t>
      </w:r>
      <w:r w:rsidR="001E4EC0" w:rsidRPr="00AB40AF">
        <w:rPr>
          <w:b/>
          <w:spacing w:val="-4"/>
        </w:rPr>
        <w:t>4</w:t>
      </w:r>
      <w:r w:rsidR="009660FA" w:rsidRPr="00AB40AF">
        <w:rPr>
          <w:b/>
          <w:spacing w:val="-4"/>
        </w:rPr>
        <w:t xml:space="preserve"> </w:t>
      </w:r>
      <w:r w:rsidR="00363050" w:rsidRPr="00AB40AF">
        <w:rPr>
          <w:b/>
          <w:spacing w:val="-4"/>
        </w:rPr>
        <w:t>г.</w:t>
      </w:r>
    </w:p>
    <w:sectPr w:rsidR="00363050" w:rsidRPr="00C2279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E6D" w:rsidRDefault="00EB5E6D" w:rsidP="002F081A">
      <w:pPr>
        <w:spacing w:after="0" w:line="240" w:lineRule="auto"/>
      </w:pPr>
      <w:r>
        <w:separator/>
      </w:r>
    </w:p>
  </w:endnote>
  <w:endnote w:type="continuationSeparator" w:id="0">
    <w:p w:rsidR="00EB5E6D" w:rsidRDefault="00EB5E6D" w:rsidP="002F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E6D" w:rsidRDefault="00EB5E6D" w:rsidP="002F081A">
      <w:pPr>
        <w:spacing w:after="0" w:line="240" w:lineRule="auto"/>
      </w:pPr>
      <w:r>
        <w:separator/>
      </w:r>
    </w:p>
  </w:footnote>
  <w:footnote w:type="continuationSeparator" w:id="0">
    <w:p w:rsidR="00EB5E6D" w:rsidRDefault="00EB5E6D" w:rsidP="002F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670"/>
      <w:gridCol w:w="4402"/>
    </w:tblGrid>
    <w:tr w:rsidR="00F97AD8" w:rsidRPr="005C1A70" w:rsidTr="00DD6179">
      <w:tc>
        <w:tcPr>
          <w:tcW w:w="4722" w:type="dxa"/>
          <w:shd w:val="clear" w:color="auto" w:fill="auto"/>
        </w:tcPr>
        <w:p w:rsidR="00F97AD8" w:rsidRPr="005C1A70" w:rsidRDefault="00F97AD8" w:rsidP="00F97AD8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</w:rPr>
          </w:pPr>
          <w:r w:rsidRPr="005C1A70">
            <w:rPr>
              <w:rFonts w:ascii="Calibri" w:eastAsia="Calibri" w:hAnsi="Calibri"/>
              <w:i/>
              <w:noProof/>
              <w:lang w:val="en-US"/>
            </w:rPr>
            <w:drawing>
              <wp:inline distT="0" distB="0" distL="0" distR="0" wp14:anchorId="0F3F5EEA" wp14:editId="0D28ED2F">
                <wp:extent cx="2226310" cy="516890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31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3" w:type="dxa"/>
          <w:shd w:val="clear" w:color="auto" w:fill="auto"/>
        </w:tcPr>
        <w:p w:rsidR="00F97AD8" w:rsidRPr="005C1A70" w:rsidRDefault="00F97AD8" w:rsidP="00F97AD8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</w:rPr>
          </w:pPr>
        </w:p>
      </w:tc>
    </w:tr>
  </w:tbl>
  <w:p w:rsidR="00F97AD8" w:rsidRPr="009B2218" w:rsidRDefault="00F97AD8" w:rsidP="00F97AD8">
    <w:pPr>
      <w:tabs>
        <w:tab w:val="center" w:pos="4536"/>
        <w:tab w:val="right" w:pos="9072"/>
      </w:tabs>
    </w:pPr>
    <w:r w:rsidRPr="005C1A70">
      <w:rPr>
        <w:rFonts w:ascii="Calibri" w:eastAsia="Calibri" w:hAnsi="Calibri"/>
        <w:noProof/>
        <w:lang w:val="en-US"/>
      </w:rPr>
      <w:drawing>
        <wp:anchor distT="0" distB="0" distL="114300" distR="114300" simplePos="0" relativeHeight="251659264" behindDoc="0" locked="0" layoutInCell="1" allowOverlap="1" wp14:anchorId="761FE40F" wp14:editId="407D184C">
          <wp:simplePos x="0" y="0"/>
          <wp:positionH relativeFrom="margin">
            <wp:posOffset>3453130</wp:posOffset>
          </wp:positionH>
          <wp:positionV relativeFrom="paragraph">
            <wp:posOffset>-765175</wp:posOffset>
          </wp:positionV>
          <wp:extent cx="2307590" cy="651510"/>
          <wp:effectExtent l="0" t="0" r="0" b="0"/>
          <wp:wrapNone/>
          <wp:docPr id="2" name="Picture 2" descr="C:\Users\h.yordanov\Documents\ПНИИДИТ\Лого ЕС\headers_logos\headers\single\ppniidit_logo_left_aligned_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.yordanov\Documents\ПНИИДИТ\Лого ЕС\headers_logos\headers\single\ppniidit_logo_left_aligned_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B1B"/>
    <w:multiLevelType w:val="hybridMultilevel"/>
    <w:tmpl w:val="73CAA90E"/>
    <w:lvl w:ilvl="0" w:tplc="FB00F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B0728"/>
    <w:multiLevelType w:val="hybridMultilevel"/>
    <w:tmpl w:val="649048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29"/>
    <w:rsid w:val="00016340"/>
    <w:rsid w:val="00030481"/>
    <w:rsid w:val="0006132A"/>
    <w:rsid w:val="000637AD"/>
    <w:rsid w:val="00077BE8"/>
    <w:rsid w:val="000A5A92"/>
    <w:rsid w:val="000B65F4"/>
    <w:rsid w:val="000B7A12"/>
    <w:rsid w:val="000C5D8A"/>
    <w:rsid w:val="000D3A67"/>
    <w:rsid w:val="000E0A58"/>
    <w:rsid w:val="000E0DDD"/>
    <w:rsid w:val="000E51F8"/>
    <w:rsid w:val="001401E6"/>
    <w:rsid w:val="00143E9D"/>
    <w:rsid w:val="0017224E"/>
    <w:rsid w:val="00174BE9"/>
    <w:rsid w:val="00183724"/>
    <w:rsid w:val="00197B38"/>
    <w:rsid w:val="001E3054"/>
    <w:rsid w:val="001E4EC0"/>
    <w:rsid w:val="001F3CDB"/>
    <w:rsid w:val="002919A6"/>
    <w:rsid w:val="002A58C9"/>
    <w:rsid w:val="002E3AA4"/>
    <w:rsid w:val="002E5441"/>
    <w:rsid w:val="002F081A"/>
    <w:rsid w:val="003333C3"/>
    <w:rsid w:val="00337242"/>
    <w:rsid w:val="00363050"/>
    <w:rsid w:val="00366155"/>
    <w:rsid w:val="0037225E"/>
    <w:rsid w:val="003A2C25"/>
    <w:rsid w:val="003A527B"/>
    <w:rsid w:val="003D3BAC"/>
    <w:rsid w:val="003F38FF"/>
    <w:rsid w:val="004229B9"/>
    <w:rsid w:val="00437199"/>
    <w:rsid w:val="00441546"/>
    <w:rsid w:val="004F7193"/>
    <w:rsid w:val="00510513"/>
    <w:rsid w:val="0052167A"/>
    <w:rsid w:val="00544D5B"/>
    <w:rsid w:val="0057375C"/>
    <w:rsid w:val="00587118"/>
    <w:rsid w:val="005B12E6"/>
    <w:rsid w:val="005D3B87"/>
    <w:rsid w:val="005D6A06"/>
    <w:rsid w:val="00620E0E"/>
    <w:rsid w:val="00625AAC"/>
    <w:rsid w:val="006276D6"/>
    <w:rsid w:val="0063799F"/>
    <w:rsid w:val="00644DFF"/>
    <w:rsid w:val="0064637C"/>
    <w:rsid w:val="006576F9"/>
    <w:rsid w:val="006B79AA"/>
    <w:rsid w:val="006C0EA2"/>
    <w:rsid w:val="006F0ED5"/>
    <w:rsid w:val="006F497D"/>
    <w:rsid w:val="00717F68"/>
    <w:rsid w:val="0072556E"/>
    <w:rsid w:val="007257E4"/>
    <w:rsid w:val="00763A3A"/>
    <w:rsid w:val="007800F2"/>
    <w:rsid w:val="007807FF"/>
    <w:rsid w:val="007F0BF1"/>
    <w:rsid w:val="008B78AF"/>
    <w:rsid w:val="008C6464"/>
    <w:rsid w:val="008E73DC"/>
    <w:rsid w:val="008F0503"/>
    <w:rsid w:val="0094212A"/>
    <w:rsid w:val="00951CA2"/>
    <w:rsid w:val="00956F88"/>
    <w:rsid w:val="009643DB"/>
    <w:rsid w:val="009660FA"/>
    <w:rsid w:val="00974300"/>
    <w:rsid w:val="009E3188"/>
    <w:rsid w:val="009F2252"/>
    <w:rsid w:val="00A0180C"/>
    <w:rsid w:val="00A076D6"/>
    <w:rsid w:val="00A11985"/>
    <w:rsid w:val="00A26D44"/>
    <w:rsid w:val="00AB40AF"/>
    <w:rsid w:val="00B5116B"/>
    <w:rsid w:val="00B960D9"/>
    <w:rsid w:val="00B970AF"/>
    <w:rsid w:val="00BD5AEE"/>
    <w:rsid w:val="00BE2242"/>
    <w:rsid w:val="00BF3C25"/>
    <w:rsid w:val="00C22792"/>
    <w:rsid w:val="00C31AB2"/>
    <w:rsid w:val="00C433F5"/>
    <w:rsid w:val="00C62261"/>
    <w:rsid w:val="00C76639"/>
    <w:rsid w:val="00C93E5D"/>
    <w:rsid w:val="00CB0255"/>
    <w:rsid w:val="00D032EB"/>
    <w:rsid w:val="00D173B6"/>
    <w:rsid w:val="00D446E2"/>
    <w:rsid w:val="00D55D40"/>
    <w:rsid w:val="00D67590"/>
    <w:rsid w:val="00D72460"/>
    <w:rsid w:val="00D75429"/>
    <w:rsid w:val="00D867CD"/>
    <w:rsid w:val="00D91074"/>
    <w:rsid w:val="00DE7565"/>
    <w:rsid w:val="00E12F74"/>
    <w:rsid w:val="00E14415"/>
    <w:rsid w:val="00E43A8C"/>
    <w:rsid w:val="00EB5E6D"/>
    <w:rsid w:val="00EC29FB"/>
    <w:rsid w:val="00EC668C"/>
    <w:rsid w:val="00EF4B87"/>
    <w:rsid w:val="00F0705B"/>
    <w:rsid w:val="00F14FF6"/>
    <w:rsid w:val="00F151AD"/>
    <w:rsid w:val="00F20DC1"/>
    <w:rsid w:val="00F35207"/>
    <w:rsid w:val="00F4301C"/>
    <w:rsid w:val="00F71052"/>
    <w:rsid w:val="00F96C74"/>
    <w:rsid w:val="00F97AD8"/>
    <w:rsid w:val="00FA10B4"/>
    <w:rsid w:val="00FA6998"/>
    <w:rsid w:val="00FC03EE"/>
    <w:rsid w:val="00FD546A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1F54B"/>
  <w15:docId w15:val="{3915B8B4-7F0C-4118-8C4F-E703BC82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A076D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076D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9E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E3188"/>
  </w:style>
  <w:style w:type="paragraph" w:styleId="Footer">
    <w:name w:val="footer"/>
    <w:basedOn w:val="Normal"/>
    <w:link w:val="FooterChar"/>
    <w:uiPriority w:val="99"/>
    <w:unhideWhenUsed/>
    <w:rsid w:val="009E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88"/>
  </w:style>
  <w:style w:type="paragraph" w:styleId="BalloonText">
    <w:name w:val="Balloon Text"/>
    <w:basedOn w:val="Normal"/>
    <w:link w:val="BalloonTextChar"/>
    <w:uiPriority w:val="99"/>
    <w:semiHidden/>
    <w:unhideWhenUsed/>
    <w:rsid w:val="009E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188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FC03E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noProof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FC03EE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4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B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B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34EC-1BB9-49FB-9331-9ED95724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Zora Blagoeva</cp:lastModifiedBy>
  <cp:revision>2</cp:revision>
  <dcterms:created xsi:type="dcterms:W3CDTF">2024-02-22T13:08:00Z</dcterms:created>
  <dcterms:modified xsi:type="dcterms:W3CDTF">2024-02-22T13:08:00Z</dcterms:modified>
</cp:coreProperties>
</file>